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D52" w:rsidRDefault="007819B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76A6F" w:rsidRPr="004F1EC9" w:rsidRDefault="007819BE" w:rsidP="00776A6F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76A6F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776A6F" w:rsidRPr="004F1EC9">
        <w:rPr>
          <w:rFonts w:ascii="Calibri" w:eastAsia="Calibri" w:hAnsi="Calibri" w:cs="Calibri"/>
          <w:b/>
          <w:sz w:val="24"/>
          <w:szCs w:val="24"/>
        </w:rPr>
        <w:t>01/2025</w:t>
      </w:r>
    </w:p>
    <w:p w:rsidR="00776A6F" w:rsidRPr="004F1EC9" w:rsidRDefault="00776A6F" w:rsidP="00776A6F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776A6F" w:rsidRPr="004F1EC9" w:rsidRDefault="00776A6F" w:rsidP="00776A6F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>DE PONTOS E PONTÕES DE CULTURA DE LARANJAL - PR</w:t>
      </w:r>
    </w:p>
    <w:p w:rsidR="00BC7D52" w:rsidRDefault="00BC7D52" w:rsidP="00776A6F">
      <w:pPr>
        <w:pStyle w:val="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BC7D52" w:rsidRDefault="00BC7D52">
      <w:pPr>
        <w:pStyle w:val="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BC7D52" w:rsidRDefault="007819B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C7D52" w:rsidRDefault="007819BE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BC7D52" w:rsidRDefault="00BC7D52">
      <w:pPr>
        <w:pStyle w:val="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C7D52" w:rsidRDefault="007819BE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:rsidR="00BC7D52" w:rsidRDefault="00BC7D52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BC7D52" w:rsidRDefault="007819BE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:rsidR="00BC7D52" w:rsidRDefault="00BC7D52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BC7D52">
        <w:trPr>
          <w:cantSplit/>
          <w:trHeight w:val="555"/>
          <w:tblHeader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BC7D52">
        <w:trPr>
          <w:cantSplit/>
          <w:trHeight w:val="79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BC7D52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52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31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55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D52">
        <w:trPr>
          <w:cantSplit/>
          <w:trHeight w:val="555"/>
          <w:tblHeader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7D52" w:rsidRDefault="007819BE">
            <w:pPr>
              <w:pStyle w:val="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52" w:rsidRDefault="00BC7D52">
            <w:pPr>
              <w:pStyle w:val="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C7D52" w:rsidRDefault="00BC7D52">
      <w:pPr>
        <w:pStyle w:val="Normal1"/>
        <w:widowControl w:val="0"/>
        <w:rPr>
          <w:rFonts w:ascii="Calibri" w:eastAsia="Calibri" w:hAnsi="Calibri" w:cs="Calibri"/>
          <w:sz w:val="24"/>
          <w:szCs w:val="24"/>
        </w:rPr>
      </w:pPr>
    </w:p>
    <w:p w:rsidR="00BC7D52" w:rsidRDefault="007819BE">
      <w:pPr>
        <w:pStyle w:val="Normal1"/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:rsidR="00BC7D52" w:rsidRDefault="00BC7D52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BC7D52" w:rsidSect="00BC7D52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E14" w:rsidRDefault="00910E14" w:rsidP="00BC7D52">
      <w:pPr>
        <w:spacing w:line="240" w:lineRule="auto"/>
      </w:pPr>
      <w:r>
        <w:separator/>
      </w:r>
    </w:p>
  </w:endnote>
  <w:endnote w:type="continuationSeparator" w:id="0">
    <w:p w:rsidR="00910E14" w:rsidRDefault="00910E14" w:rsidP="00BC7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7D52" w:rsidRDefault="007819BE">
    <w:pPr>
      <w:pStyle w:val="Normal1"/>
    </w:pP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-571499</wp:posOffset>
          </wp:positionH>
          <wp:positionV relativeFrom="paragraph">
            <wp:posOffset>-66674</wp:posOffset>
          </wp:positionV>
          <wp:extent cx="1290638" cy="56412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7048500</wp:posOffset>
          </wp:positionH>
          <wp:positionV relativeFrom="paragraph">
            <wp:posOffset>-130499</wp:posOffset>
          </wp:positionV>
          <wp:extent cx="2125415" cy="7401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36EC8">
      <w:t xml:space="preserve">                                                         </w:t>
    </w:r>
    <w:r w:rsidR="00936EC8" w:rsidRPr="00936EC8">
      <w:rPr>
        <w:noProof/>
      </w:rPr>
      <w:drawing>
        <wp:inline distT="0" distB="0" distL="0" distR="0">
          <wp:extent cx="3153591" cy="656303"/>
          <wp:effectExtent l="19050" t="0" r="8709" b="0"/>
          <wp:docPr id="615017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E14" w:rsidRDefault="00910E14" w:rsidP="00BC7D52">
      <w:pPr>
        <w:spacing w:line="240" w:lineRule="auto"/>
      </w:pPr>
      <w:r>
        <w:separator/>
      </w:r>
    </w:p>
  </w:footnote>
  <w:footnote w:type="continuationSeparator" w:id="0">
    <w:p w:rsidR="00910E14" w:rsidRDefault="00910E14" w:rsidP="00BC7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7D52" w:rsidRDefault="007819BE">
    <w:pPr>
      <w:pStyle w:val="Normal1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C7D52" w:rsidRDefault="00BC7D52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52"/>
    <w:rsid w:val="00776A6F"/>
    <w:rsid w:val="007819BE"/>
    <w:rsid w:val="0085606E"/>
    <w:rsid w:val="008759AD"/>
    <w:rsid w:val="008A1024"/>
    <w:rsid w:val="00910E14"/>
    <w:rsid w:val="00936EC8"/>
    <w:rsid w:val="00957E7F"/>
    <w:rsid w:val="00A9071D"/>
    <w:rsid w:val="00BC7D52"/>
    <w:rsid w:val="00D63639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A86D6-AA45-4E82-AACE-7CFFB67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39"/>
  </w:style>
  <w:style w:type="paragraph" w:styleId="Ttulo1">
    <w:name w:val="heading 1"/>
    <w:basedOn w:val="Normal1"/>
    <w:next w:val="Normal1"/>
    <w:rsid w:val="00BC7D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C7D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C7D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C7D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C7D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C7D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7D52"/>
  </w:style>
  <w:style w:type="table" w:customStyle="1" w:styleId="TableNormal">
    <w:name w:val="Table Normal"/>
    <w:rsid w:val="00BC7D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7D5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C7D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C7D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C7D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36E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6EC8"/>
  </w:style>
  <w:style w:type="paragraph" w:styleId="Rodap">
    <w:name w:val="footer"/>
    <w:basedOn w:val="Normal"/>
    <w:link w:val="RodapChar"/>
    <w:uiPriority w:val="99"/>
    <w:semiHidden/>
    <w:unhideWhenUsed/>
    <w:rsid w:val="00936E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6EC8"/>
  </w:style>
  <w:style w:type="paragraph" w:styleId="Textodebalo">
    <w:name w:val="Balloon Text"/>
    <w:basedOn w:val="Normal"/>
    <w:link w:val="TextodebaloChar"/>
    <w:uiPriority w:val="99"/>
    <w:semiHidden/>
    <w:unhideWhenUsed/>
    <w:rsid w:val="00936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2025-04-01T16:16:00Z</dcterms:created>
  <dcterms:modified xsi:type="dcterms:W3CDTF">2025-04-01T16:16:00Z</dcterms:modified>
</cp:coreProperties>
</file>